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4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rPr>
                <w:rFonts w:hint="eastAsia" w:ascii="宋体" w:hAnsi="宋体"/>
                <w:b/>
                <w:bCs/>
                <w:sz w:val="24"/>
              </w:rPr>
            </w:pPr>
            <w:r>
              <w:rPr>
                <w:rFonts w:hint="eastAsia" w:ascii="宋体" w:hAnsi="宋体"/>
                <w:b/>
                <w:bCs/>
                <w:sz w:val="24"/>
              </w:rPr>
              <w:t xml:space="preserve">                 1-4交通法规与交通安全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通过学习，使学生了解交通法规</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numPr>
                <w:ilvl w:val="0"/>
                <w:numId w:val="1"/>
              </w:numPr>
              <w:spacing w:line="360" w:lineRule="auto"/>
              <w:rPr>
                <w:rFonts w:ascii="宋体" w:hAnsi="宋体"/>
                <w:kern w:val="0"/>
                <w:szCs w:val="21"/>
              </w:rPr>
            </w:pPr>
            <w:r>
              <w:rPr>
                <w:rFonts w:hint="eastAsia" w:ascii="宋体" w:hAnsi="宋体"/>
                <w:kern w:val="0"/>
                <w:szCs w:val="21"/>
              </w:rPr>
              <w:t>熟知道路交通法规与交通安全管理内容；</w:t>
            </w:r>
          </w:p>
          <w:p>
            <w:pPr>
              <w:widowControl/>
              <w:numPr>
                <w:ilvl w:val="0"/>
                <w:numId w:val="1"/>
              </w:numPr>
              <w:spacing w:line="360" w:lineRule="auto"/>
              <w:rPr>
                <w:rFonts w:hint="eastAsia" w:ascii="宋体" w:hAnsi="宋体"/>
                <w:kern w:val="0"/>
                <w:szCs w:val="21"/>
              </w:rPr>
            </w:pPr>
            <w:r>
              <w:rPr>
                <w:rFonts w:hint="eastAsia" w:ascii="宋体" w:hAnsi="宋体"/>
                <w:kern w:val="0"/>
                <w:szCs w:val="21"/>
              </w:rPr>
              <w:t>掌握构成道路交通事故责任的条件；</w:t>
            </w:r>
          </w:p>
        </w:tc>
        <w:tc>
          <w:tcPr>
            <w:tcW w:w="2340" w:type="dxa"/>
          </w:tcPr>
          <w:p>
            <w:pPr>
              <w:spacing w:line="360" w:lineRule="auto"/>
              <w:rPr>
                <w:rFonts w:hint="eastAsia" w:ascii="宋体" w:hAnsi="宋体"/>
                <w:szCs w:val="21"/>
              </w:rPr>
            </w:pPr>
            <w:r>
              <w:rPr>
                <w:rFonts w:hint="eastAsia" w:ascii="宋体" w:hAnsi="宋体"/>
                <w:kern w:val="0"/>
                <w:szCs w:val="21"/>
              </w:rPr>
              <w:t>1、掌握道路交通事故责任及其追究的主要内容。</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掌握道路交通事故责任及其追究的主要内容。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掌握道路交通事故责任及其追究的主要内容。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ascii="宋体" w:hAnsi="宋体"/>
                <w:kern w:val="0"/>
                <w:sz w:val="24"/>
                <w:szCs w:val="18"/>
              </w:rPr>
              <w:t>构成道路交通事故责任的条件？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jc w:val="center"/>
        <w:rPr>
          <w:rFonts w:hint="eastAsia"/>
          <w:b/>
          <w:sz w:val="28"/>
          <w:szCs w:val="28"/>
        </w:rPr>
      </w:pPr>
      <w:r>
        <w:rPr>
          <w:rFonts w:hint="eastAsia"/>
          <w:b/>
          <w:sz w:val="28"/>
          <w:szCs w:val="28"/>
        </w:rPr>
        <w:t>教 案 用 纸</w:t>
      </w:r>
    </w:p>
    <w:tbl>
      <w:tblPr>
        <w:tblStyle w:val="4"/>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589"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589"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spacing w:line="360" w:lineRule="auto"/>
              <w:rPr>
                <w:rFonts w:ascii="宋体" w:hAnsi="宋体"/>
                <w:kern w:val="0"/>
                <w:sz w:val="24"/>
                <w:szCs w:val="18"/>
              </w:rPr>
            </w:pPr>
            <w:r>
              <w:rPr>
                <w:rFonts w:ascii="宋体" w:hAnsi="宋体"/>
                <w:kern w:val="0"/>
                <w:sz w:val="24"/>
                <w:szCs w:val="18"/>
              </w:rPr>
              <w:t>1</w:t>
            </w:r>
            <w:r>
              <w:rPr>
                <w:rFonts w:hint="eastAsia" w:ascii="宋体" w:hAnsi="宋体"/>
                <w:kern w:val="0"/>
                <w:sz w:val="24"/>
                <w:szCs w:val="18"/>
              </w:rPr>
              <w:t>、熟知道路交通法规与交通安全管理内容；</w:t>
            </w:r>
          </w:p>
          <w:p>
            <w:pPr>
              <w:spacing w:line="360" w:lineRule="auto"/>
              <w:rPr>
                <w:rFonts w:ascii="宋体" w:hAnsi="宋体"/>
                <w:kern w:val="0"/>
                <w:sz w:val="24"/>
                <w:szCs w:val="18"/>
              </w:rPr>
            </w:pPr>
            <w:r>
              <w:rPr>
                <w:rFonts w:ascii="宋体" w:hAnsi="宋体"/>
                <w:kern w:val="0"/>
                <w:sz w:val="24"/>
                <w:szCs w:val="18"/>
              </w:rPr>
              <w:t>2</w:t>
            </w:r>
            <w:r>
              <w:rPr>
                <w:rFonts w:hint="eastAsia" w:ascii="宋体" w:hAnsi="宋体"/>
                <w:kern w:val="0"/>
                <w:sz w:val="24"/>
                <w:szCs w:val="18"/>
              </w:rPr>
              <w:t>、掌握构成道路交通事故责任的条件；</w:t>
            </w:r>
          </w:p>
          <w:p>
            <w:pPr>
              <w:spacing w:line="360" w:lineRule="auto"/>
              <w:rPr>
                <w:rFonts w:ascii="宋体" w:hAnsi="宋体"/>
                <w:kern w:val="0"/>
                <w:sz w:val="24"/>
                <w:szCs w:val="18"/>
              </w:rPr>
            </w:pPr>
            <w:r>
              <w:rPr>
                <w:rFonts w:ascii="宋体" w:hAnsi="宋体"/>
                <w:kern w:val="0"/>
                <w:sz w:val="24"/>
                <w:szCs w:val="18"/>
              </w:rPr>
              <w:t>3</w:t>
            </w:r>
            <w:r>
              <w:rPr>
                <w:rFonts w:hint="eastAsia" w:ascii="宋体" w:hAnsi="宋体"/>
                <w:kern w:val="0"/>
                <w:sz w:val="24"/>
                <w:szCs w:val="18"/>
              </w:rPr>
              <w:t>、掌握道路交通事故责任及其追究主要内容</w:t>
            </w:r>
          </w:p>
          <w:p>
            <w:pPr>
              <w:spacing w:line="360" w:lineRule="auto"/>
              <w:rPr>
                <w:rFonts w:hint="eastAsia" w:ascii="宋体" w:hAnsi="宋体"/>
                <w:kern w:val="0"/>
                <w:sz w:val="24"/>
                <w:szCs w:val="18"/>
              </w:rPr>
            </w:pPr>
          </w:p>
        </w:tc>
        <w:tc>
          <w:tcPr>
            <w:tcW w:w="865" w:type="dxa"/>
          </w:tcPr>
          <w:p>
            <w:pPr>
              <w:spacing w:line="360" w:lineRule="auto"/>
              <w:rPr>
                <w:rFonts w:hint="eastAsia"/>
                <w:sz w:val="24"/>
                <w:szCs w:val="21"/>
              </w:rPr>
            </w:pPr>
          </w:p>
        </w:tc>
        <w:tc>
          <w:tcPr>
            <w:tcW w:w="589"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rPr>
                <w:rFonts w:ascii="宋体" w:hAnsi="宋体"/>
                <w:kern w:val="0"/>
                <w:sz w:val="24"/>
                <w:szCs w:val="18"/>
              </w:rPr>
            </w:pPr>
            <w:r>
              <w:rPr>
                <w:rFonts w:hint="eastAsia" w:ascii="宋体" w:hAnsi="宋体"/>
                <w:kern w:val="0"/>
                <w:sz w:val="24"/>
                <w:szCs w:val="18"/>
              </w:rPr>
              <w:t>（一）</w:t>
            </w:r>
            <w:r>
              <w:rPr>
                <w:rFonts w:ascii="宋体" w:hAnsi="宋体"/>
                <w:kern w:val="0"/>
                <w:sz w:val="24"/>
                <w:szCs w:val="18"/>
              </w:rPr>
              <w:t>制定道路交通法规的基本目的主要为：</w:t>
            </w:r>
          </w:p>
          <w:p>
            <w:pPr>
              <w:spacing w:line="360" w:lineRule="auto"/>
              <w:ind w:firstLine="480" w:firstLineChars="200"/>
              <w:rPr>
                <w:rFonts w:hint="eastAsia" w:ascii="宋体" w:hAnsi="宋体"/>
                <w:kern w:val="0"/>
                <w:sz w:val="24"/>
                <w:szCs w:val="18"/>
              </w:rPr>
            </w:pPr>
            <w:r>
              <w:rPr>
                <w:rFonts w:ascii="宋体" w:hAnsi="宋体"/>
                <w:kern w:val="0"/>
                <w:sz w:val="24"/>
                <w:szCs w:val="18"/>
              </w:rPr>
              <w:t>一是维护交通秩序，保障道路畅通和交通安全；</w:t>
            </w:r>
          </w:p>
          <w:p>
            <w:pPr>
              <w:spacing w:line="360" w:lineRule="auto"/>
              <w:ind w:firstLine="480" w:firstLineChars="200"/>
              <w:rPr>
                <w:rFonts w:ascii="宋体" w:hAnsi="宋体"/>
                <w:kern w:val="0"/>
                <w:sz w:val="24"/>
                <w:szCs w:val="18"/>
              </w:rPr>
            </w:pPr>
            <w:r>
              <w:rPr>
                <w:rFonts w:ascii="宋体" w:hAnsi="宋体"/>
                <w:kern w:val="0"/>
                <w:sz w:val="24"/>
                <w:szCs w:val="18"/>
              </w:rPr>
              <w:t>二是建立对被认为是扰乱社会交通秩序或可能导致交通冲突的各种行为进行惩罚的相关制度；</w:t>
            </w:r>
          </w:p>
          <w:p>
            <w:pPr>
              <w:spacing w:line="360" w:lineRule="auto"/>
              <w:ind w:firstLine="480" w:firstLineChars="200"/>
              <w:rPr>
                <w:rFonts w:ascii="宋体" w:hAnsi="宋体"/>
                <w:kern w:val="0"/>
                <w:sz w:val="24"/>
                <w:szCs w:val="18"/>
              </w:rPr>
            </w:pPr>
            <w:r>
              <w:rPr>
                <w:rFonts w:ascii="宋体" w:hAnsi="宋体"/>
                <w:kern w:val="0"/>
                <w:sz w:val="24"/>
                <w:szCs w:val="18"/>
              </w:rPr>
              <w:t>三是通过制度建设提高道路交通系统的通行效率，构建与现代社会发展相适应的高效道路交通系统。</w:t>
            </w:r>
          </w:p>
          <w:p>
            <w:pPr>
              <w:spacing w:line="360" w:lineRule="auto"/>
              <w:rPr>
                <w:rFonts w:ascii="宋体" w:hAnsi="宋体"/>
                <w:kern w:val="0"/>
                <w:sz w:val="24"/>
                <w:szCs w:val="18"/>
              </w:rPr>
            </w:pPr>
            <w:r>
              <w:rPr>
                <w:rFonts w:hint="eastAsia" w:ascii="宋体" w:hAnsi="宋体"/>
                <w:kern w:val="0"/>
                <w:sz w:val="24"/>
                <w:szCs w:val="18"/>
              </w:rPr>
              <w:t>（二）道路交通法规的作用与特点</w:t>
            </w:r>
          </w:p>
          <w:p>
            <w:pPr>
              <w:spacing w:line="360" w:lineRule="auto"/>
              <w:rPr>
                <w:rFonts w:ascii="宋体" w:hAnsi="宋体"/>
                <w:kern w:val="0"/>
                <w:sz w:val="24"/>
                <w:szCs w:val="18"/>
              </w:rPr>
            </w:pPr>
            <w:r>
              <w:rPr>
                <w:rFonts w:ascii="宋体" w:hAnsi="宋体"/>
                <w:kern w:val="0"/>
                <w:sz w:val="24"/>
                <w:szCs w:val="18"/>
              </w:rPr>
              <w:t>作用：维护交通秩序，保持道路畅通，保障交通安全。</w:t>
            </w:r>
          </w:p>
          <w:p>
            <w:pPr>
              <w:spacing w:line="360" w:lineRule="auto"/>
              <w:rPr>
                <w:rFonts w:ascii="宋体" w:hAnsi="宋体"/>
                <w:kern w:val="0"/>
                <w:sz w:val="24"/>
                <w:szCs w:val="18"/>
              </w:rPr>
            </w:pPr>
            <w:r>
              <w:rPr>
                <w:rFonts w:ascii="宋体" w:hAnsi="宋体"/>
                <w:kern w:val="0"/>
                <w:sz w:val="24"/>
                <w:szCs w:val="18"/>
              </w:rPr>
              <w:t>特点（4</w:t>
            </w:r>
            <w:r>
              <w:rPr>
                <w:rFonts w:hint="eastAsia" w:ascii="宋体" w:hAnsi="宋体"/>
                <w:kern w:val="0"/>
                <w:sz w:val="24"/>
                <w:szCs w:val="18"/>
              </w:rPr>
              <w:t>性）：</w:t>
            </w:r>
          </w:p>
          <w:p>
            <w:pPr>
              <w:numPr>
                <w:ilvl w:val="0"/>
                <w:numId w:val="2"/>
              </w:numPr>
              <w:spacing w:line="360" w:lineRule="auto"/>
              <w:rPr>
                <w:rFonts w:ascii="宋体" w:hAnsi="宋体"/>
                <w:kern w:val="0"/>
                <w:sz w:val="24"/>
                <w:szCs w:val="18"/>
              </w:rPr>
            </w:pPr>
            <w:r>
              <w:rPr>
                <w:rFonts w:hint="eastAsia" w:ascii="宋体" w:hAnsi="宋体"/>
                <w:kern w:val="0"/>
                <w:sz w:val="24"/>
                <w:szCs w:val="18"/>
              </w:rPr>
              <w:t xml:space="preserve">权威性：一经公布实施，就不得随意变化或更改。 </w:t>
            </w:r>
          </w:p>
          <w:p>
            <w:pPr>
              <w:numPr>
                <w:ilvl w:val="0"/>
                <w:numId w:val="2"/>
              </w:numPr>
              <w:spacing w:line="360" w:lineRule="auto"/>
              <w:rPr>
                <w:rFonts w:ascii="宋体" w:hAnsi="宋体"/>
                <w:kern w:val="0"/>
                <w:sz w:val="24"/>
                <w:szCs w:val="18"/>
              </w:rPr>
            </w:pPr>
            <w:r>
              <w:rPr>
                <w:rFonts w:hint="eastAsia" w:ascii="宋体" w:hAnsi="宋体"/>
                <w:kern w:val="0"/>
                <w:sz w:val="24"/>
                <w:szCs w:val="18"/>
              </w:rPr>
              <w:t>强制性：任何交通参与者在交通活动中都必须无条件遵守，决不允许有人超越于法律之外。</w:t>
            </w:r>
          </w:p>
          <w:p>
            <w:pPr>
              <w:numPr>
                <w:ilvl w:val="0"/>
                <w:numId w:val="2"/>
              </w:numPr>
              <w:spacing w:line="360" w:lineRule="auto"/>
              <w:rPr>
                <w:rFonts w:ascii="宋体" w:hAnsi="宋体"/>
                <w:kern w:val="0"/>
                <w:sz w:val="24"/>
                <w:szCs w:val="18"/>
              </w:rPr>
            </w:pPr>
            <w:r>
              <w:rPr>
                <w:rFonts w:hint="eastAsia" w:ascii="宋体" w:hAnsi="宋体"/>
                <w:kern w:val="0"/>
                <w:sz w:val="24"/>
                <w:szCs w:val="18"/>
              </w:rPr>
              <w:t>社会性：涉及到千家万户，与每个社会成员的工作、生活紧密相关。</w:t>
            </w:r>
          </w:p>
          <w:p>
            <w:pPr>
              <w:numPr>
                <w:ilvl w:val="0"/>
                <w:numId w:val="2"/>
              </w:numPr>
              <w:spacing w:line="360" w:lineRule="auto"/>
              <w:rPr>
                <w:rFonts w:ascii="宋体" w:hAnsi="宋体"/>
                <w:kern w:val="0"/>
                <w:sz w:val="24"/>
                <w:szCs w:val="18"/>
              </w:rPr>
            </w:pPr>
            <w:r>
              <w:rPr>
                <w:rFonts w:hint="eastAsia" w:ascii="宋体" w:hAnsi="宋体"/>
                <w:kern w:val="0"/>
                <w:sz w:val="24"/>
                <w:szCs w:val="18"/>
              </w:rPr>
              <w:t>告知性：法规对交通参与者、道路交通管理者等相关者在道路交通活动中的权力、责任和义务均已作出了明确的规定。</w:t>
            </w:r>
          </w:p>
          <w:p>
            <w:pPr>
              <w:spacing w:line="360" w:lineRule="auto"/>
              <w:rPr>
                <w:rFonts w:ascii="宋体" w:hAnsi="宋体"/>
                <w:kern w:val="0"/>
                <w:sz w:val="24"/>
                <w:szCs w:val="18"/>
              </w:rPr>
            </w:pPr>
            <w:r>
              <w:rPr>
                <w:rFonts w:hint="eastAsia" w:ascii="宋体" w:hAnsi="宋体"/>
                <w:kern w:val="0"/>
                <w:sz w:val="24"/>
                <w:szCs w:val="18"/>
              </w:rPr>
              <w:t>（三）交通事故责任认定的目的：</w:t>
            </w:r>
          </w:p>
          <w:p>
            <w:pPr>
              <w:numPr>
                <w:ilvl w:val="0"/>
                <w:numId w:val="3"/>
              </w:numPr>
              <w:spacing w:line="360" w:lineRule="auto"/>
              <w:rPr>
                <w:rFonts w:ascii="宋体" w:hAnsi="宋体"/>
                <w:kern w:val="0"/>
                <w:sz w:val="24"/>
                <w:szCs w:val="18"/>
              </w:rPr>
            </w:pPr>
            <w:r>
              <w:rPr>
                <w:rFonts w:hint="eastAsia" w:ascii="宋体" w:hAnsi="宋体"/>
                <w:kern w:val="0"/>
                <w:sz w:val="24"/>
                <w:szCs w:val="18"/>
              </w:rPr>
              <w:t>①便于以责论处的追究肇事者的责任；</w:t>
            </w:r>
          </w:p>
          <w:p>
            <w:pPr>
              <w:numPr>
                <w:ilvl w:val="0"/>
                <w:numId w:val="3"/>
              </w:numPr>
              <w:spacing w:line="360" w:lineRule="auto"/>
              <w:rPr>
                <w:rFonts w:ascii="宋体" w:hAnsi="宋体"/>
                <w:kern w:val="0"/>
                <w:sz w:val="24"/>
                <w:szCs w:val="18"/>
              </w:rPr>
            </w:pPr>
            <w:r>
              <w:rPr>
                <w:rFonts w:hint="eastAsia" w:ascii="宋体" w:hAnsi="宋体"/>
                <w:kern w:val="0"/>
                <w:sz w:val="24"/>
                <w:szCs w:val="18"/>
              </w:rPr>
              <w:t>②为了客观、公平地确定事故当事人对事故损害的赔偿份额；</w:t>
            </w:r>
          </w:p>
          <w:p>
            <w:pPr>
              <w:numPr>
                <w:ilvl w:val="0"/>
                <w:numId w:val="3"/>
              </w:numPr>
              <w:spacing w:line="360" w:lineRule="auto"/>
              <w:rPr>
                <w:rFonts w:ascii="宋体" w:hAnsi="宋体"/>
                <w:kern w:val="0"/>
                <w:sz w:val="24"/>
                <w:szCs w:val="18"/>
              </w:rPr>
            </w:pPr>
            <w:r>
              <w:rPr>
                <w:rFonts w:hint="eastAsia" w:ascii="宋体" w:hAnsi="宋体"/>
                <w:kern w:val="0"/>
                <w:sz w:val="24"/>
                <w:szCs w:val="18"/>
              </w:rPr>
              <w:t>③有利于对其他交通参与者起到教育、警示的作用；</w:t>
            </w:r>
          </w:p>
          <w:p>
            <w:pPr>
              <w:numPr>
                <w:ilvl w:val="0"/>
                <w:numId w:val="3"/>
              </w:numPr>
              <w:spacing w:line="360" w:lineRule="auto"/>
              <w:rPr>
                <w:rFonts w:ascii="宋体" w:hAnsi="宋体"/>
                <w:kern w:val="0"/>
                <w:sz w:val="24"/>
                <w:szCs w:val="18"/>
              </w:rPr>
            </w:pPr>
            <w:r>
              <w:rPr>
                <w:rFonts w:hint="eastAsia" w:ascii="宋体" w:hAnsi="宋体"/>
                <w:kern w:val="0"/>
                <w:sz w:val="24"/>
                <w:szCs w:val="18"/>
              </w:rPr>
              <w:t>④供研究交通事故发生规律、制定更加有效的交通安全防范措施与管理对策用。</w:t>
            </w:r>
          </w:p>
          <w:p>
            <w:pPr>
              <w:numPr>
                <w:ilvl w:val="0"/>
                <w:numId w:val="4"/>
              </w:numPr>
              <w:spacing w:line="360" w:lineRule="auto"/>
              <w:rPr>
                <w:rFonts w:ascii="宋体" w:hAnsi="宋体"/>
                <w:kern w:val="0"/>
                <w:sz w:val="24"/>
                <w:szCs w:val="18"/>
              </w:rPr>
            </w:pPr>
            <w:r>
              <w:rPr>
                <w:rFonts w:hint="eastAsia" w:ascii="宋体" w:hAnsi="宋体"/>
                <w:kern w:val="0"/>
                <w:sz w:val="24"/>
                <w:szCs w:val="18"/>
              </w:rPr>
              <w:t>道路交通事故的责任分类</w:t>
            </w:r>
          </w:p>
          <w:p>
            <w:pPr>
              <w:spacing w:line="360" w:lineRule="auto"/>
              <w:ind w:firstLine="480" w:firstLineChars="200"/>
              <w:rPr>
                <w:rFonts w:ascii="宋体" w:hAnsi="宋体"/>
                <w:kern w:val="0"/>
                <w:sz w:val="24"/>
                <w:szCs w:val="18"/>
              </w:rPr>
            </w:pPr>
            <w:r>
              <w:rPr>
                <w:rFonts w:ascii="宋体" w:hAnsi="宋体"/>
                <w:kern w:val="0"/>
                <w:sz w:val="24"/>
                <w:szCs w:val="18"/>
              </w:rPr>
              <w:t>全部责任：由导致交通事故发生的一方当事人承担该起事故的全部责任，另一方当事人不负事故责任。</w:t>
            </w:r>
          </w:p>
          <w:p>
            <w:pPr>
              <w:spacing w:line="360" w:lineRule="auto"/>
              <w:ind w:firstLine="480" w:firstLineChars="200"/>
              <w:rPr>
                <w:rFonts w:ascii="宋体" w:hAnsi="宋体"/>
                <w:kern w:val="0"/>
                <w:sz w:val="24"/>
                <w:szCs w:val="18"/>
              </w:rPr>
            </w:pPr>
            <w:r>
              <w:rPr>
                <w:rFonts w:ascii="宋体" w:hAnsi="宋体"/>
                <w:kern w:val="0"/>
                <w:sz w:val="24"/>
                <w:szCs w:val="18"/>
              </w:rPr>
              <w:t xml:space="preserve">主要责任与次要责任：双方当事人都有违反交通法规的行为存在，但在程度、情节等方面存在明显差别，在该起交通事故起主要作用的一方当事人应对该起事故负主要责任，另一方当事人对该起事故负次要责任。 </w:t>
            </w:r>
          </w:p>
          <w:p>
            <w:pPr>
              <w:spacing w:line="360" w:lineRule="auto"/>
              <w:ind w:firstLine="480" w:firstLineChars="200"/>
              <w:rPr>
                <w:rFonts w:ascii="宋体" w:hAnsi="宋体"/>
                <w:kern w:val="0"/>
                <w:sz w:val="24"/>
                <w:szCs w:val="18"/>
              </w:rPr>
            </w:pPr>
            <w:r>
              <w:rPr>
                <w:rFonts w:ascii="宋体" w:hAnsi="宋体"/>
                <w:kern w:val="0"/>
                <w:sz w:val="24"/>
                <w:szCs w:val="18"/>
              </w:rPr>
              <w:t xml:space="preserve">同等责任：双方当事人违法情节轻重相当，主次很难分清，则由双方当事人对该起事故负同等责任。 </w:t>
            </w:r>
          </w:p>
          <w:p>
            <w:pPr>
              <w:spacing w:line="360" w:lineRule="auto"/>
              <w:rPr>
                <w:rFonts w:ascii="宋体" w:hAnsi="宋体"/>
                <w:kern w:val="0"/>
                <w:sz w:val="24"/>
                <w:szCs w:val="18"/>
              </w:rPr>
            </w:pPr>
            <w:r>
              <w:rPr>
                <w:rFonts w:hint="eastAsia" w:ascii="宋体" w:hAnsi="宋体"/>
                <w:kern w:val="0"/>
                <w:sz w:val="24"/>
                <w:szCs w:val="18"/>
              </w:rPr>
              <w:t>（五）道路交通事故责任认定的原则</w:t>
            </w:r>
          </w:p>
          <w:p>
            <w:pPr>
              <w:spacing w:line="360" w:lineRule="auto"/>
              <w:ind w:firstLine="480" w:firstLineChars="200"/>
              <w:rPr>
                <w:rFonts w:ascii="宋体" w:hAnsi="宋体"/>
                <w:kern w:val="0"/>
                <w:sz w:val="24"/>
                <w:szCs w:val="18"/>
              </w:rPr>
            </w:pPr>
            <w:r>
              <w:rPr>
                <w:rFonts w:ascii="宋体" w:hAnsi="宋体"/>
                <w:kern w:val="0"/>
                <w:sz w:val="24"/>
                <w:szCs w:val="18"/>
              </w:rPr>
              <w:t>交通事故当事人的行为对发生交通事故所起的作用大小及其过错的严重程度。</w:t>
            </w:r>
          </w:p>
          <w:p>
            <w:pPr>
              <w:spacing w:line="360" w:lineRule="auto"/>
              <w:ind w:firstLine="480" w:firstLineChars="200"/>
              <w:rPr>
                <w:rFonts w:ascii="宋体" w:hAnsi="宋体"/>
                <w:kern w:val="0"/>
                <w:sz w:val="24"/>
                <w:szCs w:val="18"/>
              </w:rPr>
            </w:pPr>
            <w:r>
              <w:rPr>
                <w:rFonts w:ascii="宋体" w:hAnsi="宋体"/>
                <w:kern w:val="0"/>
                <w:sz w:val="24"/>
                <w:szCs w:val="18"/>
              </w:rPr>
              <w:t>准则1</w:t>
            </w:r>
            <w:r>
              <w:rPr>
                <w:rFonts w:hint="eastAsia" w:ascii="宋体" w:hAnsi="宋体"/>
                <w:kern w:val="0"/>
                <w:sz w:val="24"/>
                <w:szCs w:val="18"/>
              </w:rPr>
              <w:t>：根据交通事故当事人行为对发生交通事故所起的作用进行认定；</w:t>
            </w:r>
          </w:p>
          <w:p>
            <w:pPr>
              <w:spacing w:line="360" w:lineRule="auto"/>
              <w:ind w:firstLine="480" w:firstLineChars="200"/>
              <w:rPr>
                <w:rFonts w:hint="eastAsia" w:ascii="宋体" w:hAnsi="宋体"/>
                <w:kern w:val="0"/>
                <w:sz w:val="24"/>
                <w:szCs w:val="18"/>
              </w:rPr>
            </w:pPr>
            <w:r>
              <w:rPr>
                <w:rFonts w:ascii="宋体" w:hAnsi="宋体"/>
                <w:kern w:val="0"/>
                <w:sz w:val="24"/>
                <w:szCs w:val="18"/>
              </w:rPr>
              <w:t>准则2</w:t>
            </w:r>
            <w:r>
              <w:rPr>
                <w:rFonts w:hint="eastAsia" w:ascii="宋体" w:hAnsi="宋体"/>
                <w:kern w:val="0"/>
                <w:sz w:val="24"/>
                <w:szCs w:val="18"/>
              </w:rPr>
              <w:t>：根据交通事故当事人过错的严重程度进行认定；</w:t>
            </w: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589"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通过本节课的学习，熟知交通法规，掌握交通事故责任及其追究。</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589"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ind w:firstLine="120" w:firstLineChars="50"/>
              <w:rPr>
                <w:rFonts w:hint="eastAsia" w:ascii="宋体" w:hAnsi="宋体"/>
                <w:kern w:val="0"/>
                <w:sz w:val="18"/>
                <w:szCs w:val="18"/>
              </w:rPr>
            </w:pPr>
            <w:r>
              <w:rPr>
                <w:rFonts w:hint="eastAsia" w:ascii="宋体" w:hAnsi="宋体"/>
                <w:kern w:val="0"/>
                <w:sz w:val="24"/>
              </w:rPr>
              <w:t xml:space="preserve"> </w:t>
            </w:r>
            <w:r>
              <w:rPr>
                <w:rFonts w:hint="eastAsia" w:ascii="宋体" w:hAnsi="宋体"/>
                <w:kern w:val="0"/>
                <w:sz w:val="24"/>
                <w:szCs w:val="18"/>
              </w:rPr>
              <w:t>构成道路交通事故责任的条件？</w:t>
            </w:r>
          </w:p>
        </w:tc>
        <w:tc>
          <w:tcPr>
            <w:tcW w:w="865" w:type="dxa"/>
          </w:tcPr>
          <w:p>
            <w:pPr>
              <w:spacing w:line="360" w:lineRule="auto"/>
              <w:rPr>
                <w:rFonts w:hint="eastAsia"/>
                <w:sz w:val="24"/>
                <w:szCs w:val="21"/>
              </w:rPr>
            </w:pPr>
          </w:p>
        </w:tc>
        <w:tc>
          <w:tcPr>
            <w:tcW w:w="589" w:type="dxa"/>
          </w:tcPr>
          <w:p>
            <w:pPr>
              <w:spacing w:line="360" w:lineRule="auto"/>
              <w:jc w:val="center"/>
              <w:rPr>
                <w:rFonts w:hint="eastAsia"/>
                <w:sz w:val="24"/>
                <w:szCs w:val="21"/>
              </w:rPr>
            </w:pPr>
            <w:r>
              <w:rPr>
                <w:rFonts w:hint="eastAsia"/>
                <w:sz w:val="24"/>
                <w:szCs w:val="21"/>
              </w:rPr>
              <w:t>15分钟</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B"/>
    <w:multiLevelType w:val="multilevel"/>
    <w:tmpl w:val="0000002B"/>
    <w:lvl w:ilvl="0"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1"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2"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3"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4"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5"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6"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7"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lvl w:ilvl="8" w:tentative="0">
      <w:start w:val="1"/>
      <w:numFmt w:val="decimal"/>
      <w:lvlText w:val="%1."/>
      <w:lvlJc w:val="left"/>
      <w:rPr>
        <w:rFonts w:ascii="微软雅黑" w:hAnsi="微软雅黑" w:cs="微软雅黑"/>
        <w:b w:val="0"/>
        <w:bCs w:val="0"/>
        <w:i w:val="0"/>
        <w:iCs w:val="0"/>
        <w:smallCaps w:val="0"/>
        <w:strike w:val="0"/>
        <w:color w:val="000000"/>
        <w:spacing w:val="20"/>
        <w:w w:val="100"/>
        <w:position w:val="0"/>
        <w:sz w:val="20"/>
        <w:szCs w:val="20"/>
        <w:u w:val="none"/>
      </w:rPr>
    </w:lvl>
  </w:abstractNum>
  <w:abstractNum w:abstractNumId="1">
    <w:nsid w:val="03505632"/>
    <w:multiLevelType w:val="multilevel"/>
    <w:tmpl w:val="03505632"/>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4D241E"/>
    <w:multiLevelType w:val="multilevel"/>
    <w:tmpl w:val="084D241E"/>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abstractNum w:abstractNumId="3">
    <w:nsid w:val="28742EAF"/>
    <w:multiLevelType w:val="multilevel"/>
    <w:tmpl w:val="28742EAF"/>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Symbol" w:hAnsi="Symbol"/>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
      <w:lvlJc w:val="left"/>
      <w:pPr>
        <w:tabs>
          <w:tab w:val="left" w:pos="3600"/>
        </w:tabs>
        <w:ind w:left="3600" w:hanging="360"/>
      </w:pPr>
      <w:rPr>
        <w:rFonts w:hint="default" w:ascii="Symbol" w:hAnsi="Symbol"/>
      </w:rPr>
    </w:lvl>
    <w:lvl w:ilvl="5" w:tentative="0">
      <w:start w:val="1"/>
      <w:numFmt w:val="bullet"/>
      <w:lvlText w:val=""/>
      <w:lvlJc w:val="left"/>
      <w:pPr>
        <w:tabs>
          <w:tab w:val="left" w:pos="4320"/>
        </w:tabs>
        <w:ind w:left="4320" w:hanging="360"/>
      </w:pPr>
      <w:rPr>
        <w:rFonts w:hint="default" w:ascii="Symbol" w:hAnsi="Symbol"/>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
      <w:lvlJc w:val="left"/>
      <w:pPr>
        <w:tabs>
          <w:tab w:val="left" w:pos="5760"/>
        </w:tabs>
        <w:ind w:left="5760" w:hanging="360"/>
      </w:pPr>
      <w:rPr>
        <w:rFonts w:hint="default" w:ascii="Symbol" w:hAnsi="Symbol"/>
      </w:rPr>
    </w:lvl>
    <w:lvl w:ilvl="8" w:tentative="0">
      <w:start w:val="1"/>
      <w:numFmt w:val="bullet"/>
      <w:lvlText w:val=""/>
      <w:lvlJc w:val="left"/>
      <w:pPr>
        <w:tabs>
          <w:tab w:val="left" w:pos="6480"/>
        </w:tabs>
        <w:ind w:left="6480" w:hanging="360"/>
      </w:pPr>
      <w:rPr>
        <w:rFonts w:hint="default" w:ascii="Symbol" w:hAnsi="Symbol"/>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6A"/>
    <w:rsid w:val="00240DDD"/>
    <w:rsid w:val="00405CBB"/>
    <w:rsid w:val="00C97F6A"/>
    <w:rsid w:val="00F10662"/>
    <w:rsid w:val="43580F5F"/>
    <w:rsid w:val="533F4AF4"/>
    <w:rsid w:val="6CA8426B"/>
    <w:rsid w:val="79BF2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247</Words>
  <Characters>1410</Characters>
  <Lines>11</Lines>
  <Paragraphs>3</Paragraphs>
  <TotalTime>0</TotalTime>
  <ScaleCrop>false</ScaleCrop>
  <LinksUpToDate>false</LinksUpToDate>
  <CharactersWithSpaces>1654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2019-09-02T04:18:00Z</dcterms:created>
  <dc:creator>小叶子</dc:creator>
  <cp:lastModifiedBy>zws</cp:lastModifiedBy>
  <dcterms:modified xsi:type="dcterms:W3CDTF">2021-11-30T00:21:34Z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F11749045E0544B195B9303B633C9F39</vt:lpwstr>
  </property>
</Properties>
</file>